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212305" w:rsidRPr="00212305" w:rsidRDefault="00212305" w:rsidP="0021230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212305">
        <w:rPr>
          <w:b/>
          <w:bCs/>
          <w:color w:val="333333"/>
          <w:sz w:val="28"/>
          <w:szCs w:val="28"/>
        </w:rPr>
        <w:t>Об ответственности за вандализм</w:t>
      </w:r>
    </w:p>
    <w:bookmarkEnd w:id="0"/>
    <w:p w:rsidR="00212305" w:rsidRPr="00212305" w:rsidRDefault="00212305" w:rsidP="00212305">
      <w:pPr>
        <w:shd w:val="clear" w:color="auto" w:fill="FFFFFF"/>
        <w:contextualSpacing/>
        <w:rPr>
          <w:color w:val="000000"/>
          <w:sz w:val="28"/>
          <w:szCs w:val="28"/>
        </w:rPr>
      </w:pPr>
      <w:r w:rsidRPr="00212305">
        <w:rPr>
          <w:color w:val="000000"/>
          <w:sz w:val="28"/>
          <w:szCs w:val="28"/>
        </w:rPr>
        <w:t> </w:t>
      </w:r>
      <w:r w:rsidRPr="00212305">
        <w:rPr>
          <w:color w:val="FFFFFF"/>
          <w:sz w:val="28"/>
          <w:szCs w:val="28"/>
        </w:rPr>
        <w:t>Текст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Согласно ч. 1 ст. 214 УК РФ за совершение вандализма, то есть осквернение зданий или иных сооружений, порчу имущества на общественном транспорте или в иных общественных местах, лицо подлежит привлечению к уголовной ответственности и ему может быть назначен один из следующих видов наказаний: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штраф в размере до сорока тысяч рублей или в размере заработной платы или иного дохода осужденного за период до трех месяцев;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обязательные работы на срок до трехсот шестидесяти часов;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исправительные работы на срок до одного года;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арест на срок до трех месяцев.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Под порчей имущества может пониматься (помимо его разрушения) нанесение надписей, рисунков. При этом последние не обязательно должны иметь нецензурный или неприличный характер.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Имуществом в общественном месте может быть игровое и спортивное оборудование на площадках, стены зданий, малые архитектурные формы (ограды, скульптуры, светильники, стенды для афиш и реклам, беседки, скамейки и т.д.).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Вандализм, совершенный группой лиц, либо по мотивам политической, расовой, национальной или религиозной ненависти или вражды либо по мотивам ненависти или вражды в отношении какой-нибудь социальной группы, может повлечь ограничение свободы, либо принудительные работы, либо лишение свободы на срок до 3 лет (соответственно).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Необходимо учитывать, что уголовная ответственность за данное преступление наступает не с 16 лет, как предусмотрено общим правилом в силу ч. 1 ст. 19 УК РФ, а с 14 лет (как и по ряду других преступлений, указанных в ч. 2 ст. 19 УК РФ).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Однако, необходимо учитывать, что не достижение к моменту совершения указанного преступления возраста, с которого наступает уголовная ответственность, может в силу требований Федерального закона «Об основах системы профилактики безнадзорности и правонарушений несовершеннолетних» повлечь помещение несовершеннолетнего в специальное учебно-воспитательное учреждение закрытого типа.</w:t>
      </w:r>
    </w:p>
    <w:p w:rsidR="0051577F" w:rsidRPr="00212305" w:rsidRDefault="0051577F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212305" w:rsidRDefault="006162F1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750D5C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И.о.</w:t>
      </w:r>
      <w:r w:rsidR="000B41FE" w:rsidRPr="00212305">
        <w:rPr>
          <w:sz w:val="28"/>
          <w:szCs w:val="28"/>
        </w:rPr>
        <w:t xml:space="preserve"> прокурора района</w:t>
      </w:r>
    </w:p>
    <w:p w:rsidR="00071F57" w:rsidRPr="00212305" w:rsidRDefault="00071F57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212305" w:rsidRDefault="000B41FE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09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408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2023-06-26T12:18:00Z</cp:lastPrinted>
  <dcterms:created xsi:type="dcterms:W3CDTF">2023-11-30T08:53:00Z</dcterms:created>
  <dcterms:modified xsi:type="dcterms:W3CDTF">2023-11-30T08:53:00Z</dcterms:modified>
</cp:coreProperties>
</file>